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E" w:rsidRDefault="00BB5416">
      <w:r>
        <w:t>Subject</w:t>
      </w:r>
      <w:r>
        <w:br/>
        <w:t>Protect Refugee Resettlement in Arizona</w:t>
      </w:r>
    </w:p>
    <w:p w:rsidR="006A788C" w:rsidRDefault="006A788C">
      <w:r>
        <w:t xml:space="preserve">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2790"/>
        <w:gridCol w:w="1908"/>
      </w:tblGrid>
      <w:tr w:rsidR="00611EF9" w:rsidTr="00611EF9">
        <w:tc>
          <w:tcPr>
            <w:tcW w:w="1818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Representative</w:t>
            </w:r>
          </w:p>
        </w:tc>
        <w:tc>
          <w:tcPr>
            <w:tcW w:w="3060" w:type="dxa"/>
          </w:tcPr>
          <w:p w:rsidR="00611EF9" w:rsidRPr="00514CE0" w:rsidRDefault="00611EF9" w:rsidP="00264DBD">
            <w:hyperlink r:id="rId5" w:history="1">
              <w:r w:rsidRPr="00611EF9">
                <w:rPr>
                  <w:rStyle w:val="Hyperlink"/>
                </w:rPr>
                <w:t>Bob Thorpe (Chair)</w:t>
              </w:r>
            </w:hyperlink>
          </w:p>
        </w:tc>
        <w:tc>
          <w:tcPr>
            <w:tcW w:w="2790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bthorpe</w:t>
            </w:r>
            <w:r>
              <w:t>@azleg.gov</w:t>
            </w:r>
          </w:p>
        </w:tc>
        <w:tc>
          <w:tcPr>
            <w:tcW w:w="1908" w:type="dxa"/>
          </w:tcPr>
          <w:p w:rsidR="00611EF9" w:rsidRDefault="00611EF9">
            <w:r>
              <w:t>6</w:t>
            </w:r>
          </w:p>
        </w:tc>
      </w:tr>
      <w:tr w:rsidR="00611EF9" w:rsidTr="00611EF9">
        <w:tc>
          <w:tcPr>
            <w:tcW w:w="1818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Representative</w:t>
            </w:r>
          </w:p>
        </w:tc>
        <w:tc>
          <w:tcPr>
            <w:tcW w:w="3060" w:type="dxa"/>
          </w:tcPr>
          <w:p w:rsidR="00611EF9" w:rsidRPr="00514CE0" w:rsidRDefault="00611EF9" w:rsidP="00264DBD">
            <w:hyperlink r:id="rId6" w:history="1">
              <w:r w:rsidRPr="00611EF9">
                <w:rPr>
                  <w:rStyle w:val="Hyperlink"/>
                </w:rPr>
                <w:t xml:space="preserve">Christopher </w:t>
              </w:r>
              <w:proofErr w:type="spellStart"/>
              <w:r w:rsidRPr="00611EF9">
                <w:rPr>
                  <w:rStyle w:val="Hyperlink"/>
                </w:rPr>
                <w:t>Ackerly</w:t>
              </w:r>
              <w:proofErr w:type="spellEnd"/>
              <w:r w:rsidRPr="00611EF9">
                <w:rPr>
                  <w:rStyle w:val="Hyperlink"/>
                </w:rPr>
                <w:t xml:space="preserve"> (vice Chair)</w:t>
              </w:r>
            </w:hyperlink>
          </w:p>
        </w:tc>
        <w:tc>
          <w:tcPr>
            <w:tcW w:w="2790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cackerly</w:t>
            </w:r>
            <w:r>
              <w:t>@azleg.gov</w:t>
            </w:r>
          </w:p>
        </w:tc>
        <w:tc>
          <w:tcPr>
            <w:tcW w:w="1908" w:type="dxa"/>
          </w:tcPr>
          <w:p w:rsidR="00611EF9" w:rsidRDefault="00611EF9">
            <w:r>
              <w:t>2</w:t>
            </w:r>
          </w:p>
        </w:tc>
      </w:tr>
      <w:tr w:rsidR="00611EF9" w:rsidTr="00611EF9">
        <w:tc>
          <w:tcPr>
            <w:tcW w:w="1818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Representative</w:t>
            </w:r>
          </w:p>
        </w:tc>
        <w:tc>
          <w:tcPr>
            <w:tcW w:w="3060" w:type="dxa"/>
          </w:tcPr>
          <w:p w:rsidR="00611EF9" w:rsidRPr="00514CE0" w:rsidRDefault="00611EF9" w:rsidP="00264DBD">
            <w:hyperlink r:id="rId7" w:history="1">
              <w:r w:rsidRPr="00611EF9">
                <w:rPr>
                  <w:rStyle w:val="Hyperlink"/>
                </w:rPr>
                <w:t>Jonathan Larkin</w:t>
              </w:r>
            </w:hyperlink>
          </w:p>
        </w:tc>
        <w:tc>
          <w:tcPr>
            <w:tcW w:w="2790" w:type="dxa"/>
          </w:tcPr>
          <w:p w:rsidR="00611EF9" w:rsidRDefault="00611EF9">
            <w:r>
              <w:t>jlarkin@</w:t>
            </w:r>
            <w:r>
              <w:t>azleg.gov</w:t>
            </w:r>
          </w:p>
        </w:tc>
        <w:tc>
          <w:tcPr>
            <w:tcW w:w="1908" w:type="dxa"/>
          </w:tcPr>
          <w:p w:rsidR="00611EF9" w:rsidRDefault="00611EF9">
            <w:r>
              <w:t>30</w:t>
            </w:r>
          </w:p>
        </w:tc>
      </w:tr>
      <w:tr w:rsidR="00611EF9" w:rsidTr="00611EF9">
        <w:tc>
          <w:tcPr>
            <w:tcW w:w="1818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Representative</w:t>
            </w:r>
          </w:p>
        </w:tc>
        <w:tc>
          <w:tcPr>
            <w:tcW w:w="3060" w:type="dxa"/>
          </w:tcPr>
          <w:p w:rsidR="00611EF9" w:rsidRPr="00514CE0" w:rsidRDefault="00611EF9" w:rsidP="00264DBD">
            <w:hyperlink r:id="rId8" w:history="1">
              <w:r w:rsidRPr="00611EF9">
                <w:rPr>
                  <w:rStyle w:val="Hyperlink"/>
                </w:rPr>
                <w:t xml:space="preserve">Phil </w:t>
              </w:r>
              <w:proofErr w:type="spellStart"/>
              <w:r w:rsidRPr="00611EF9">
                <w:rPr>
                  <w:rStyle w:val="Hyperlink"/>
                </w:rPr>
                <w:t>Lovas</w:t>
              </w:r>
              <w:proofErr w:type="spellEnd"/>
            </w:hyperlink>
          </w:p>
        </w:tc>
        <w:tc>
          <w:tcPr>
            <w:tcW w:w="2790" w:type="dxa"/>
          </w:tcPr>
          <w:p w:rsidR="00611EF9" w:rsidRDefault="00611EF9">
            <w:r>
              <w:t>plovas@azleg.gov</w:t>
            </w:r>
          </w:p>
        </w:tc>
        <w:tc>
          <w:tcPr>
            <w:tcW w:w="1908" w:type="dxa"/>
          </w:tcPr>
          <w:p w:rsidR="00611EF9" w:rsidRDefault="00611EF9">
            <w:r>
              <w:t>22</w:t>
            </w:r>
          </w:p>
        </w:tc>
      </w:tr>
      <w:tr w:rsidR="00611EF9" w:rsidTr="00611EF9">
        <w:tc>
          <w:tcPr>
            <w:tcW w:w="1818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Representative</w:t>
            </w:r>
          </w:p>
        </w:tc>
        <w:tc>
          <w:tcPr>
            <w:tcW w:w="3060" w:type="dxa"/>
          </w:tcPr>
          <w:p w:rsidR="00611EF9" w:rsidRPr="00514CE0" w:rsidRDefault="00611EF9" w:rsidP="00264DBD">
            <w:hyperlink r:id="rId9" w:history="1">
              <w:r w:rsidRPr="00611EF9">
                <w:rPr>
                  <w:rStyle w:val="Hyperlink"/>
                </w:rPr>
                <w:t>Justin Olson</w:t>
              </w:r>
            </w:hyperlink>
          </w:p>
        </w:tc>
        <w:tc>
          <w:tcPr>
            <w:tcW w:w="2790" w:type="dxa"/>
          </w:tcPr>
          <w:p w:rsidR="00611EF9" w:rsidRDefault="00611EF9">
            <w:r>
              <w:t>jolson@azleg.gov</w:t>
            </w:r>
          </w:p>
        </w:tc>
        <w:tc>
          <w:tcPr>
            <w:tcW w:w="1908" w:type="dxa"/>
          </w:tcPr>
          <w:p w:rsidR="00611EF9" w:rsidRDefault="00611EF9">
            <w:r>
              <w:t>25</w:t>
            </w:r>
          </w:p>
        </w:tc>
      </w:tr>
      <w:tr w:rsidR="00611EF9" w:rsidTr="00611EF9">
        <w:tc>
          <w:tcPr>
            <w:tcW w:w="1818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Representative</w:t>
            </w:r>
          </w:p>
        </w:tc>
        <w:tc>
          <w:tcPr>
            <w:tcW w:w="3060" w:type="dxa"/>
          </w:tcPr>
          <w:p w:rsidR="00611EF9" w:rsidRPr="00514CE0" w:rsidRDefault="00611EF9" w:rsidP="00264DBD">
            <w:hyperlink r:id="rId10" w:history="1">
              <w:r w:rsidRPr="00611EF9">
                <w:rPr>
                  <w:rStyle w:val="Hyperlink"/>
                </w:rPr>
                <w:t>Warren Petersen</w:t>
              </w:r>
            </w:hyperlink>
          </w:p>
        </w:tc>
        <w:tc>
          <w:tcPr>
            <w:tcW w:w="2790" w:type="dxa"/>
          </w:tcPr>
          <w:p w:rsidR="00611EF9" w:rsidRDefault="00611EF9">
            <w:r>
              <w:t>wpetersen@azleg.gov</w:t>
            </w:r>
          </w:p>
        </w:tc>
        <w:tc>
          <w:tcPr>
            <w:tcW w:w="1908" w:type="dxa"/>
          </w:tcPr>
          <w:p w:rsidR="00611EF9" w:rsidRDefault="00611EF9">
            <w:r>
              <w:t>12</w:t>
            </w:r>
          </w:p>
        </w:tc>
      </w:tr>
      <w:tr w:rsidR="00611EF9" w:rsidTr="00611EF9">
        <w:tc>
          <w:tcPr>
            <w:tcW w:w="1818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Representative</w:t>
            </w:r>
          </w:p>
        </w:tc>
        <w:tc>
          <w:tcPr>
            <w:tcW w:w="3060" w:type="dxa"/>
          </w:tcPr>
          <w:p w:rsidR="00611EF9" w:rsidRPr="00514CE0" w:rsidRDefault="00611EF9" w:rsidP="00264DBD">
            <w:hyperlink r:id="rId11" w:history="1">
              <w:proofErr w:type="spellStart"/>
              <w:r w:rsidRPr="00611EF9">
                <w:rPr>
                  <w:rStyle w:val="Hyperlink"/>
                </w:rPr>
                <w:t>Macario</w:t>
              </w:r>
              <w:proofErr w:type="spellEnd"/>
              <w:r w:rsidRPr="00611EF9">
                <w:rPr>
                  <w:rStyle w:val="Hyperlink"/>
                </w:rPr>
                <w:t xml:space="preserve"> </w:t>
              </w:r>
              <w:proofErr w:type="spellStart"/>
              <w:r w:rsidRPr="00611EF9">
                <w:rPr>
                  <w:rStyle w:val="Hyperlink"/>
                </w:rPr>
                <w:t>Saldate</w:t>
              </w:r>
              <w:proofErr w:type="spellEnd"/>
            </w:hyperlink>
          </w:p>
        </w:tc>
        <w:tc>
          <w:tcPr>
            <w:tcW w:w="2790" w:type="dxa"/>
          </w:tcPr>
          <w:p w:rsidR="00611EF9" w:rsidRDefault="00611EF9">
            <w:r>
              <w:t>msaldate@azleg.gov</w:t>
            </w:r>
          </w:p>
        </w:tc>
        <w:tc>
          <w:tcPr>
            <w:tcW w:w="1908" w:type="dxa"/>
          </w:tcPr>
          <w:p w:rsidR="00611EF9" w:rsidRDefault="00611EF9">
            <w:r>
              <w:t>3</w:t>
            </w:r>
          </w:p>
        </w:tc>
      </w:tr>
      <w:tr w:rsidR="00611EF9" w:rsidTr="00611EF9">
        <w:tc>
          <w:tcPr>
            <w:tcW w:w="1818" w:type="dxa"/>
          </w:tcPr>
          <w:p w:rsidR="00611EF9" w:rsidRDefault="00611EF9">
            <w:r>
              <w:rPr>
                <w:rFonts w:ascii="Calibri" w:hAnsi="Calibri"/>
                <w:color w:val="000000"/>
              </w:rPr>
              <w:t>Representative</w:t>
            </w:r>
          </w:p>
        </w:tc>
        <w:tc>
          <w:tcPr>
            <w:tcW w:w="3060" w:type="dxa"/>
          </w:tcPr>
          <w:p w:rsidR="00611EF9" w:rsidRPr="00514CE0" w:rsidRDefault="00611EF9" w:rsidP="00264DBD">
            <w:hyperlink r:id="rId12" w:history="1">
              <w:r w:rsidRPr="00611EF9">
                <w:rPr>
                  <w:rStyle w:val="Hyperlink"/>
                </w:rPr>
                <w:t>Kelly Townsend</w:t>
              </w:r>
            </w:hyperlink>
          </w:p>
        </w:tc>
        <w:tc>
          <w:tcPr>
            <w:tcW w:w="2790" w:type="dxa"/>
          </w:tcPr>
          <w:p w:rsidR="00611EF9" w:rsidRDefault="00611EF9">
            <w:r>
              <w:t>k</w:t>
            </w:r>
            <w:r>
              <w:rPr>
                <w:rFonts w:ascii="Calibri" w:hAnsi="Calibri"/>
                <w:color w:val="000000"/>
              </w:rPr>
              <w:t>townsend@azleg.gov</w:t>
            </w:r>
          </w:p>
        </w:tc>
        <w:tc>
          <w:tcPr>
            <w:tcW w:w="1908" w:type="dxa"/>
          </w:tcPr>
          <w:p w:rsidR="00611EF9" w:rsidRDefault="00611EF9">
            <w:r>
              <w:t>16</w:t>
            </w:r>
          </w:p>
        </w:tc>
      </w:tr>
    </w:tbl>
    <w:p w:rsidR="006A788C" w:rsidRDefault="006A788C"/>
    <w:p w:rsidR="00BD6302" w:rsidRDefault="00BD6302">
      <w:r>
        <w:t xml:space="preserve">Dear Representative (NAME), </w:t>
      </w:r>
    </w:p>
    <w:p w:rsidR="006A788C" w:rsidRDefault="00BB5416">
      <w:r>
        <w:t>Our nation’s proud history calls us to stand for welcome, even in the wake of fear.</w:t>
      </w:r>
      <w:r w:rsidR="00052ACC">
        <w:t xml:space="preserve"> As an (employee/volunteer/</w:t>
      </w:r>
      <w:r w:rsidR="00BF024D">
        <w:t xml:space="preserve">board member/supporter) </w:t>
      </w:r>
      <w:r w:rsidR="00052ACC">
        <w:t xml:space="preserve">of Lutheran Social Services of the Southwest, </w:t>
      </w:r>
      <w:r>
        <w:t>I</w:t>
      </w:r>
      <w:r w:rsidR="00611EF9">
        <w:t xml:space="preserve"> implore you to vote against HB 2682</w:t>
      </w:r>
      <w:r w:rsidR="00052ACC">
        <w:t>, which threaten</w:t>
      </w:r>
      <w:r w:rsidR="00611EF9">
        <w:t>s</w:t>
      </w:r>
      <w:bookmarkStart w:id="0" w:name="_GoBack"/>
      <w:bookmarkEnd w:id="0"/>
      <w:r w:rsidR="00052ACC">
        <w:t xml:space="preserve"> </w:t>
      </w:r>
      <w:r w:rsidR="008631A3">
        <w:t xml:space="preserve">the important work of refugee resettlement. </w:t>
      </w:r>
    </w:p>
    <w:p w:rsidR="00BB5416" w:rsidRDefault="00BB5416" w:rsidP="00BB5416">
      <w:r>
        <w:t xml:space="preserve">The United States refugee resettlement program has a sophisticated and multi-layered approach to vetting any prospective refugee prior to entering our country. Indeed, refugees are the most highly screened population that </w:t>
      </w:r>
      <w:proofErr w:type="gramStart"/>
      <w:r>
        <w:t>enter</w:t>
      </w:r>
      <w:proofErr w:type="gramEnd"/>
      <w:r>
        <w:t xml:space="preserve"> the United States. The current screening process often takes years to complete and includes face-to-face interviews, database checks and biometrics by the Department of Homeland Security, Federal Bureau of Investigations, Department of Defense and multiple intelligence agencies.</w:t>
      </w:r>
    </w:p>
    <w:p w:rsidR="00BB5416" w:rsidRDefault="00BB5416" w:rsidP="00BB5416">
      <w:r>
        <w:t xml:space="preserve">A duplication of this process presents unnecessary regulation and expense.  The services provided by resettlement agencies do not require licensing. </w:t>
      </w:r>
    </w:p>
    <w:p w:rsidR="00BB5416" w:rsidRDefault="00BB5416" w:rsidP="00BB5416">
      <w:r>
        <w:t xml:space="preserve">I call on you to ensure that the United States upholds our country's tradition of welcoming all vulnerable populations. We cannot and should not reject the protection needs of any </w:t>
      </w:r>
      <w:r w:rsidR="0016786E">
        <w:t>deserving refugee. As people of faith</w:t>
      </w:r>
      <w:r>
        <w:t>, as Americans, and as global citizens--we must stand for welcome.</w:t>
      </w:r>
    </w:p>
    <w:p w:rsidR="00BB5416" w:rsidRDefault="00BB5416" w:rsidP="00BB5416">
      <w:r>
        <w:t>Sincerely,</w:t>
      </w:r>
    </w:p>
    <w:p w:rsidR="00BB5416" w:rsidRDefault="00BB5416" w:rsidP="00BB5416">
      <w:proofErr w:type="gramStart"/>
      <w:r>
        <w:t>YOUR</w:t>
      </w:r>
      <w:proofErr w:type="gramEnd"/>
      <w:r>
        <w:t xml:space="preserve"> NAME</w:t>
      </w:r>
    </w:p>
    <w:sectPr w:rsidR="00BB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16"/>
    <w:rsid w:val="00052ACC"/>
    <w:rsid w:val="0016786E"/>
    <w:rsid w:val="00611EF9"/>
    <w:rsid w:val="006A788C"/>
    <w:rsid w:val="007C025D"/>
    <w:rsid w:val="008631A3"/>
    <w:rsid w:val="00986B2E"/>
    <w:rsid w:val="00A47A0A"/>
    <w:rsid w:val="00BB5416"/>
    <w:rsid w:val="00BD6302"/>
    <w:rsid w:val="00BF024D"/>
    <w:rsid w:val="00CA3799"/>
    <w:rsid w:val="00E35FF5"/>
    <w:rsid w:val="00EA2C31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leg.gov/MembersPage.asp?Member_ID=68&amp;Legislature=52&amp;Session_ID=1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leg.gov/MembersPage.asp?Member_ID=83&amp;Legislature=52&amp;Session_ID=115" TargetMode="External"/><Relationship Id="rId12" Type="http://schemas.openxmlformats.org/officeDocument/2006/relationships/hyperlink" Target="http://www.azleg.gov/MembersPage.asp?Member_ID=53&amp;Legislature=52&amp;Session_ID=1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zleg.gov/MembersPage.asp?Member_ID=32&amp;Legislature=52&amp;Session_ID=115" TargetMode="External"/><Relationship Id="rId11" Type="http://schemas.openxmlformats.org/officeDocument/2006/relationships/hyperlink" Target="http://www.azleg.gov/MembersPage.asp?Member_ID=72&amp;Legislature=52&amp;Session_ID=115" TargetMode="External"/><Relationship Id="rId5" Type="http://schemas.openxmlformats.org/officeDocument/2006/relationships/hyperlink" Target="http://www.azleg.gov/MembersPage.asp?Member_ID=70&amp;Legislature=52&amp;Session_ID=115" TargetMode="External"/><Relationship Id="rId10" Type="http://schemas.openxmlformats.org/officeDocument/2006/relationships/hyperlink" Target="http://www.azleg.gov/MembersPage.asp?Member_ID=69&amp;Legislature=52&amp;Session_ID=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leg.gov/MembersPage.asp?Member_ID=78&amp;Legislature=52&amp;Session_ID=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3</cp:revision>
  <dcterms:created xsi:type="dcterms:W3CDTF">2016-02-12T23:53:00Z</dcterms:created>
  <dcterms:modified xsi:type="dcterms:W3CDTF">2016-02-13T00:02:00Z</dcterms:modified>
</cp:coreProperties>
</file>